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5E84" w14:textId="16ABBFC3" w:rsidR="00470F08" w:rsidRPr="005F01FD" w:rsidRDefault="00470F08">
      <w:pPr>
        <w:rPr>
          <w:b/>
          <w:bCs/>
          <w:sz w:val="20"/>
          <w:szCs w:val="20"/>
        </w:rPr>
      </w:pPr>
    </w:p>
    <w:p w14:paraId="1E38FE42" w14:textId="77777777" w:rsidR="00877A86" w:rsidRPr="005F01FD" w:rsidRDefault="00877A86">
      <w:pPr>
        <w:rPr>
          <w:b/>
          <w:bCs/>
          <w:sz w:val="20"/>
          <w:szCs w:val="20"/>
        </w:rPr>
      </w:pPr>
    </w:p>
    <w:p w14:paraId="630D6365" w14:textId="1FA0C7D7" w:rsidR="007C3BD1" w:rsidRDefault="000A021D" w:rsidP="005F01FD">
      <w:pPr>
        <w:ind w:right="321"/>
        <w:jc w:val="center"/>
        <w:rPr>
          <w:b/>
          <w:bCs/>
          <w:sz w:val="32"/>
          <w:szCs w:val="32"/>
        </w:rPr>
      </w:pPr>
      <w:r w:rsidRPr="007C3BD1">
        <w:rPr>
          <w:b/>
          <w:bCs/>
          <w:sz w:val="32"/>
          <w:szCs w:val="32"/>
        </w:rPr>
        <w:t xml:space="preserve">Remboursement des frais de location de kiosques dans les marchés publics de La </w:t>
      </w:r>
      <w:proofErr w:type="spellStart"/>
      <w:r w:rsidRPr="007C3BD1">
        <w:rPr>
          <w:b/>
          <w:bCs/>
          <w:sz w:val="32"/>
          <w:szCs w:val="32"/>
        </w:rPr>
        <w:t>Vallée-de-l’Or</w:t>
      </w:r>
      <w:proofErr w:type="spellEnd"/>
      <w:r w:rsidR="008D3622">
        <w:rPr>
          <w:b/>
          <w:bCs/>
          <w:sz w:val="32"/>
          <w:szCs w:val="32"/>
        </w:rPr>
        <w:t xml:space="preserve"> – saison 2025</w:t>
      </w:r>
    </w:p>
    <w:p w14:paraId="7CE7A91D" w14:textId="77777777" w:rsidR="005F01FD" w:rsidRPr="00AD0878" w:rsidRDefault="005F01FD" w:rsidP="005F01FD">
      <w:pPr>
        <w:ind w:right="321"/>
        <w:jc w:val="center"/>
        <w:rPr>
          <w:b/>
          <w:bCs/>
          <w:sz w:val="24"/>
          <w:szCs w:val="24"/>
        </w:rPr>
      </w:pPr>
    </w:p>
    <w:p w14:paraId="34516F46" w14:textId="04CD2410" w:rsidR="0001521C" w:rsidRPr="000A021D" w:rsidRDefault="00DD57B1">
      <w:pPr>
        <w:rPr>
          <w:b/>
          <w:bCs/>
          <w:i/>
          <w:iCs/>
          <w:sz w:val="26"/>
          <w:szCs w:val="26"/>
        </w:rPr>
      </w:pPr>
      <w:r w:rsidRPr="000A021D">
        <w:rPr>
          <w:b/>
          <w:bCs/>
          <w:i/>
          <w:iCs/>
          <w:sz w:val="26"/>
          <w:szCs w:val="26"/>
        </w:rPr>
        <w:t>Formulaire</w:t>
      </w:r>
      <w:r w:rsidR="00295224" w:rsidRPr="000A021D">
        <w:rPr>
          <w:b/>
          <w:bCs/>
          <w:i/>
          <w:iCs/>
          <w:sz w:val="26"/>
          <w:szCs w:val="26"/>
        </w:rPr>
        <w:t xml:space="preserve"> </w:t>
      </w:r>
      <w:r w:rsidR="00553D8E" w:rsidRPr="000A021D">
        <w:rPr>
          <w:b/>
          <w:bCs/>
          <w:i/>
          <w:iCs/>
          <w:sz w:val="26"/>
          <w:szCs w:val="26"/>
        </w:rPr>
        <w:t xml:space="preserve">de </w:t>
      </w:r>
      <w:r w:rsidR="000A021D" w:rsidRPr="000A021D">
        <w:rPr>
          <w:b/>
          <w:bCs/>
          <w:i/>
          <w:iCs/>
          <w:sz w:val="26"/>
          <w:szCs w:val="26"/>
        </w:rPr>
        <w:t>vérification</w:t>
      </w:r>
      <w:r w:rsidR="00553D8E" w:rsidRPr="000A021D">
        <w:rPr>
          <w:b/>
          <w:bCs/>
          <w:i/>
          <w:iCs/>
          <w:sz w:val="26"/>
          <w:szCs w:val="26"/>
        </w:rPr>
        <w:t xml:space="preserve"> de l’éligibilité</w:t>
      </w:r>
    </w:p>
    <w:p w14:paraId="6E153783" w14:textId="76F02AC2" w:rsidR="00DD57B1" w:rsidRPr="00641108" w:rsidRDefault="008D3622" w:rsidP="00641108">
      <w:pPr>
        <w:spacing w:after="0"/>
        <w:ind w:right="321"/>
        <w:jc w:val="both"/>
        <w:rPr>
          <w:sz w:val="24"/>
          <w:szCs w:val="24"/>
        </w:rPr>
      </w:pPr>
      <w:r>
        <w:rPr>
          <w:sz w:val="24"/>
          <w:szCs w:val="24"/>
        </w:rPr>
        <w:t>Pour une 2</w:t>
      </w:r>
      <w:r w:rsidRPr="008D362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année, d</w:t>
      </w:r>
      <w:r w:rsidR="00041EA5" w:rsidRPr="00641108">
        <w:rPr>
          <w:sz w:val="24"/>
          <w:szCs w:val="24"/>
        </w:rPr>
        <w:t>ans le cadre du plan de développement de la zone agricole</w:t>
      </w:r>
      <w:r w:rsidR="00295224" w:rsidRPr="00641108">
        <w:rPr>
          <w:sz w:val="24"/>
          <w:szCs w:val="24"/>
        </w:rPr>
        <w:t xml:space="preserve"> (PDZA)</w:t>
      </w:r>
      <w:r w:rsidR="00041EA5" w:rsidRPr="00641108">
        <w:rPr>
          <w:sz w:val="24"/>
          <w:szCs w:val="24"/>
        </w:rPr>
        <w:t xml:space="preserve">, </w:t>
      </w:r>
      <w:r w:rsidR="00295224" w:rsidRPr="00641108">
        <w:rPr>
          <w:sz w:val="24"/>
          <w:szCs w:val="24"/>
        </w:rPr>
        <w:t>la MRC de La Vallée-de-l’Or procèdera au</w:t>
      </w:r>
      <w:r w:rsidR="00041EA5" w:rsidRPr="00641108">
        <w:rPr>
          <w:sz w:val="24"/>
          <w:szCs w:val="24"/>
        </w:rPr>
        <w:t xml:space="preserve"> rembourse</w:t>
      </w:r>
      <w:r w:rsidR="00295224" w:rsidRPr="00641108">
        <w:rPr>
          <w:sz w:val="24"/>
          <w:szCs w:val="24"/>
        </w:rPr>
        <w:t>ment de</w:t>
      </w:r>
      <w:r w:rsidR="00041EA5" w:rsidRPr="00641108">
        <w:rPr>
          <w:sz w:val="24"/>
          <w:szCs w:val="24"/>
        </w:rPr>
        <w:t xml:space="preserve"> la location des kiosque</w:t>
      </w:r>
      <w:r w:rsidR="00295224" w:rsidRPr="00641108">
        <w:rPr>
          <w:sz w:val="24"/>
          <w:szCs w:val="24"/>
        </w:rPr>
        <w:t xml:space="preserve">s loués par des entreprises agricoles et </w:t>
      </w:r>
      <w:r w:rsidR="008A7645" w:rsidRPr="008A7645">
        <w:rPr>
          <w:color w:val="000000" w:themeColor="text1"/>
          <w:sz w:val="24"/>
          <w:szCs w:val="24"/>
        </w:rPr>
        <w:t>bio</w:t>
      </w:r>
      <w:r w:rsidR="00295224" w:rsidRPr="008A7645">
        <w:rPr>
          <w:color w:val="000000" w:themeColor="text1"/>
          <w:sz w:val="24"/>
          <w:szCs w:val="24"/>
        </w:rPr>
        <w:t>alimentaires</w:t>
      </w:r>
      <w:r w:rsidR="00295224" w:rsidRPr="00641108">
        <w:rPr>
          <w:sz w:val="24"/>
          <w:szCs w:val="24"/>
        </w:rPr>
        <w:t xml:space="preserve">, et ce, pour </w:t>
      </w:r>
      <w:r w:rsidR="00C23622" w:rsidRPr="00641108">
        <w:rPr>
          <w:sz w:val="24"/>
          <w:szCs w:val="24"/>
        </w:rPr>
        <w:t>les marchés</w:t>
      </w:r>
      <w:r w:rsidR="00041EA5" w:rsidRPr="00641108">
        <w:rPr>
          <w:sz w:val="24"/>
          <w:szCs w:val="24"/>
        </w:rPr>
        <w:t xml:space="preserve"> public</w:t>
      </w:r>
      <w:r w:rsidR="00295224" w:rsidRPr="00641108">
        <w:rPr>
          <w:sz w:val="24"/>
          <w:szCs w:val="24"/>
        </w:rPr>
        <w:t>s</w:t>
      </w:r>
      <w:r w:rsidR="00041EA5" w:rsidRPr="00641108">
        <w:rPr>
          <w:sz w:val="24"/>
          <w:szCs w:val="24"/>
        </w:rPr>
        <w:t xml:space="preserve"> </w:t>
      </w:r>
      <w:r w:rsidR="00295224" w:rsidRPr="00641108">
        <w:rPr>
          <w:sz w:val="24"/>
          <w:szCs w:val="24"/>
        </w:rPr>
        <w:t>de</w:t>
      </w:r>
      <w:r w:rsidR="00C23622" w:rsidRPr="00641108">
        <w:rPr>
          <w:sz w:val="24"/>
          <w:szCs w:val="24"/>
        </w:rPr>
        <w:t xml:space="preserve"> Malartic, Senneterre et Val-d’Or</w:t>
      </w:r>
      <w:r w:rsidR="00041EA5" w:rsidRPr="00641108">
        <w:rPr>
          <w:sz w:val="24"/>
          <w:szCs w:val="24"/>
        </w:rPr>
        <w:t>. Cette démarche vise à encourager la présence d’entreprises alimentaires aux différents marchés publics</w:t>
      </w:r>
      <w:r w:rsidR="007F73B7" w:rsidRPr="00641108">
        <w:rPr>
          <w:sz w:val="24"/>
          <w:szCs w:val="24"/>
        </w:rPr>
        <w:t xml:space="preserve"> d</w:t>
      </w:r>
      <w:r w:rsidR="00C23622" w:rsidRPr="00641108">
        <w:rPr>
          <w:sz w:val="24"/>
          <w:szCs w:val="24"/>
        </w:rPr>
        <w:t>u</w:t>
      </w:r>
      <w:r w:rsidR="007F73B7" w:rsidRPr="00641108">
        <w:rPr>
          <w:sz w:val="24"/>
          <w:szCs w:val="24"/>
        </w:rPr>
        <w:t xml:space="preserve"> territoire</w:t>
      </w:r>
      <w:r w:rsidR="00041EA5" w:rsidRPr="00641108">
        <w:rPr>
          <w:sz w:val="24"/>
          <w:szCs w:val="24"/>
        </w:rPr>
        <w:t xml:space="preserve">. </w:t>
      </w:r>
    </w:p>
    <w:p w14:paraId="1A9E81F9" w14:textId="77777777" w:rsidR="00244DD3" w:rsidRPr="00AD0878" w:rsidRDefault="00244DD3" w:rsidP="00641108">
      <w:pPr>
        <w:spacing w:after="0"/>
        <w:ind w:right="321"/>
        <w:jc w:val="both"/>
        <w:rPr>
          <w:sz w:val="24"/>
          <w:szCs w:val="24"/>
        </w:rPr>
      </w:pPr>
    </w:p>
    <w:p w14:paraId="4466D881" w14:textId="41F3E8A9" w:rsidR="00C23622" w:rsidRPr="00641108" w:rsidRDefault="00244DD3" w:rsidP="00641108">
      <w:pPr>
        <w:spacing w:after="0"/>
        <w:ind w:right="321"/>
        <w:jc w:val="both"/>
        <w:rPr>
          <w:sz w:val="24"/>
          <w:szCs w:val="24"/>
        </w:rPr>
      </w:pPr>
      <w:r w:rsidRPr="00641108">
        <w:rPr>
          <w:sz w:val="24"/>
          <w:szCs w:val="24"/>
        </w:rPr>
        <w:t xml:space="preserve">Nous vous invitons à </w:t>
      </w:r>
      <w:r w:rsidR="00F62213" w:rsidRPr="00641108">
        <w:rPr>
          <w:sz w:val="24"/>
          <w:szCs w:val="24"/>
        </w:rPr>
        <w:t>remplir</w:t>
      </w:r>
      <w:r w:rsidRPr="00641108">
        <w:rPr>
          <w:sz w:val="24"/>
          <w:szCs w:val="24"/>
        </w:rPr>
        <w:t xml:space="preserve"> </w:t>
      </w:r>
      <w:r w:rsidR="00F62213" w:rsidRPr="00641108">
        <w:rPr>
          <w:sz w:val="24"/>
          <w:szCs w:val="24"/>
        </w:rPr>
        <w:t xml:space="preserve">l’ensemble des éléments du tableau se trouvant </w:t>
      </w:r>
      <w:r w:rsidRPr="00641108">
        <w:rPr>
          <w:sz w:val="24"/>
          <w:szCs w:val="24"/>
        </w:rPr>
        <w:t>à l’endo</w:t>
      </w:r>
      <w:r w:rsidR="00E85067">
        <w:rPr>
          <w:sz w:val="24"/>
          <w:szCs w:val="24"/>
        </w:rPr>
        <w:t>s</w:t>
      </w:r>
      <w:r w:rsidRPr="00641108">
        <w:rPr>
          <w:sz w:val="24"/>
          <w:szCs w:val="24"/>
        </w:rPr>
        <w:t xml:space="preserve"> de ce document</w:t>
      </w:r>
      <w:r w:rsidR="00F62213" w:rsidRPr="00641108">
        <w:rPr>
          <w:sz w:val="24"/>
          <w:szCs w:val="24"/>
        </w:rPr>
        <w:t>. Cela nous permettra de vérifier l’admissibilité de votre entreprise et de</w:t>
      </w:r>
      <w:r w:rsidR="00641108" w:rsidRPr="00641108">
        <w:rPr>
          <w:sz w:val="24"/>
          <w:szCs w:val="24"/>
        </w:rPr>
        <w:t xml:space="preserve"> vous transmettre</w:t>
      </w:r>
      <w:r w:rsidR="00F62213" w:rsidRPr="00641108">
        <w:rPr>
          <w:sz w:val="24"/>
          <w:szCs w:val="24"/>
        </w:rPr>
        <w:t xml:space="preserve"> l’acceptation ou le refus de votre demande.  Seul</w:t>
      </w:r>
      <w:r w:rsidR="002B1559" w:rsidRPr="00641108">
        <w:rPr>
          <w:sz w:val="24"/>
          <w:szCs w:val="24"/>
        </w:rPr>
        <w:t>e</w:t>
      </w:r>
      <w:r w:rsidR="00F62213" w:rsidRPr="00641108">
        <w:rPr>
          <w:sz w:val="24"/>
          <w:szCs w:val="24"/>
        </w:rPr>
        <w:t xml:space="preserve">s les </w:t>
      </w:r>
      <w:r w:rsidR="002B1559" w:rsidRPr="00641108">
        <w:rPr>
          <w:sz w:val="24"/>
          <w:szCs w:val="24"/>
        </w:rPr>
        <w:t xml:space="preserve">entreprises inscrites au Registraire des entreprises du Québec seront </w:t>
      </w:r>
      <w:r w:rsidR="00D0326E" w:rsidRPr="00641108">
        <w:rPr>
          <w:sz w:val="24"/>
          <w:szCs w:val="24"/>
        </w:rPr>
        <w:t>éligibles au remboursement.</w:t>
      </w:r>
    </w:p>
    <w:p w14:paraId="277BA428" w14:textId="77777777" w:rsidR="002B1559" w:rsidRPr="009945A9" w:rsidRDefault="002B1559" w:rsidP="00641108">
      <w:pPr>
        <w:spacing w:after="0"/>
        <w:ind w:right="321"/>
        <w:jc w:val="both"/>
        <w:rPr>
          <w:sz w:val="20"/>
          <w:szCs w:val="20"/>
        </w:rPr>
      </w:pPr>
    </w:p>
    <w:p w14:paraId="3F616896" w14:textId="77777777" w:rsidR="009945A9" w:rsidRPr="009945A9" w:rsidRDefault="009945A9" w:rsidP="00641108">
      <w:pPr>
        <w:spacing w:after="0"/>
        <w:ind w:right="321"/>
        <w:jc w:val="both"/>
        <w:rPr>
          <w:sz w:val="20"/>
          <w:szCs w:val="20"/>
        </w:rPr>
      </w:pPr>
    </w:p>
    <w:p w14:paraId="5FBE3A9B" w14:textId="0CFFA38E" w:rsidR="002B1559" w:rsidRPr="00641108" w:rsidRDefault="002B1559" w:rsidP="00641108">
      <w:pPr>
        <w:spacing w:after="0"/>
        <w:ind w:right="321"/>
        <w:jc w:val="both"/>
        <w:rPr>
          <w:b/>
          <w:bCs/>
          <w:sz w:val="24"/>
          <w:szCs w:val="24"/>
        </w:rPr>
      </w:pPr>
      <w:r w:rsidRPr="00641108">
        <w:rPr>
          <w:b/>
          <w:bCs/>
          <w:sz w:val="24"/>
          <w:szCs w:val="24"/>
        </w:rPr>
        <w:t xml:space="preserve">Entreprises </w:t>
      </w:r>
      <w:r w:rsidR="00D0326E" w:rsidRPr="00641108">
        <w:rPr>
          <w:b/>
          <w:bCs/>
          <w:sz w:val="24"/>
          <w:szCs w:val="24"/>
        </w:rPr>
        <w:t>éligibles</w:t>
      </w:r>
      <w:r w:rsidRPr="00641108">
        <w:rPr>
          <w:b/>
          <w:bCs/>
          <w:sz w:val="24"/>
          <w:szCs w:val="24"/>
        </w:rPr>
        <w:t> :</w:t>
      </w:r>
    </w:p>
    <w:p w14:paraId="353FD709" w14:textId="39F3DF56" w:rsidR="002B1559" w:rsidRPr="00641108" w:rsidRDefault="002B1559" w:rsidP="00641108">
      <w:pPr>
        <w:pStyle w:val="Paragraphedeliste"/>
        <w:numPr>
          <w:ilvl w:val="0"/>
          <w:numId w:val="3"/>
        </w:numPr>
        <w:spacing w:after="0"/>
        <w:ind w:right="321"/>
        <w:jc w:val="both"/>
        <w:rPr>
          <w:sz w:val="24"/>
          <w:szCs w:val="24"/>
        </w:rPr>
      </w:pPr>
      <w:r w:rsidRPr="00641108">
        <w:rPr>
          <w:sz w:val="24"/>
          <w:szCs w:val="24"/>
        </w:rPr>
        <w:t>Entreprises agricoles</w:t>
      </w:r>
      <w:r w:rsidR="0051213E">
        <w:rPr>
          <w:sz w:val="24"/>
          <w:szCs w:val="24"/>
        </w:rPr>
        <w:t>, agroalimentaire et transformation alimentaire</w:t>
      </w:r>
    </w:p>
    <w:p w14:paraId="596F427C" w14:textId="77777777" w:rsidR="00244DD3" w:rsidRPr="005F01FD" w:rsidRDefault="00244DD3" w:rsidP="00641108">
      <w:pPr>
        <w:spacing w:after="0"/>
        <w:ind w:right="321"/>
        <w:jc w:val="both"/>
        <w:rPr>
          <w:sz w:val="20"/>
          <w:szCs w:val="20"/>
        </w:rPr>
      </w:pPr>
    </w:p>
    <w:p w14:paraId="2B2F9B3E" w14:textId="292E3F2A" w:rsidR="00C1670E" w:rsidRPr="005F01FD" w:rsidRDefault="00C1670E" w:rsidP="00641108">
      <w:pPr>
        <w:spacing w:after="0"/>
        <w:ind w:right="321"/>
        <w:jc w:val="both"/>
        <w:rPr>
          <w:i/>
          <w:iCs/>
        </w:rPr>
      </w:pPr>
      <w:r w:rsidRPr="005F01FD">
        <w:rPr>
          <w:i/>
          <w:iCs/>
        </w:rPr>
        <w:t>Une entreprise agricole est définie comme un</w:t>
      </w:r>
      <w:r w:rsidR="00FF5ABC">
        <w:rPr>
          <w:i/>
          <w:iCs/>
        </w:rPr>
        <w:t>e</w:t>
      </w:r>
      <w:r w:rsidRPr="005F01FD">
        <w:rPr>
          <w:i/>
          <w:iCs/>
        </w:rPr>
        <w:t xml:space="preserve"> </w:t>
      </w:r>
      <w:r w:rsidR="00FF5ABC">
        <w:rPr>
          <w:i/>
          <w:iCs/>
        </w:rPr>
        <w:t>e</w:t>
      </w:r>
      <w:r w:rsidR="00FF5ABC" w:rsidRPr="00FF5ABC">
        <w:rPr>
          <w:i/>
          <w:iCs/>
        </w:rPr>
        <w:t xml:space="preserve">ntreprise exerçant des activités de production animale </w:t>
      </w:r>
      <w:r w:rsidR="00E85067">
        <w:rPr>
          <w:i/>
          <w:iCs/>
        </w:rPr>
        <w:t>et/ou</w:t>
      </w:r>
      <w:r w:rsidR="00FF5ABC" w:rsidRPr="00FF5ABC">
        <w:rPr>
          <w:i/>
          <w:iCs/>
        </w:rPr>
        <w:t xml:space="preserve"> végétale ou qui sont liées à la transformation, au transport, à la commercialisation ou à la distribution de produits agricoles</w:t>
      </w:r>
      <w:r w:rsidRPr="005F01FD">
        <w:rPr>
          <w:i/>
          <w:iCs/>
        </w:rPr>
        <w:t>.</w:t>
      </w:r>
    </w:p>
    <w:p w14:paraId="05EE3F2B" w14:textId="77777777" w:rsidR="005F01FD" w:rsidRPr="00AD0878" w:rsidRDefault="005F01FD" w:rsidP="00641108">
      <w:pPr>
        <w:spacing w:after="0"/>
        <w:ind w:right="321"/>
        <w:jc w:val="both"/>
        <w:rPr>
          <w:sz w:val="16"/>
          <w:szCs w:val="16"/>
        </w:rPr>
      </w:pPr>
    </w:p>
    <w:p w14:paraId="6B882DCD" w14:textId="5FAE2036" w:rsidR="00D0326E" w:rsidRDefault="005F01FD" w:rsidP="00641108">
      <w:pPr>
        <w:spacing w:after="0"/>
        <w:ind w:right="321"/>
        <w:jc w:val="both"/>
        <w:rPr>
          <w:i/>
          <w:iCs/>
        </w:rPr>
      </w:pPr>
      <w:r w:rsidRPr="005F01FD">
        <w:rPr>
          <w:i/>
          <w:iCs/>
        </w:rPr>
        <w:t xml:space="preserve">Une entreprise </w:t>
      </w:r>
      <w:r w:rsidR="00F87529">
        <w:rPr>
          <w:i/>
          <w:iCs/>
        </w:rPr>
        <w:t xml:space="preserve">de </w:t>
      </w:r>
      <w:r w:rsidR="00F87529" w:rsidRPr="00F87529">
        <w:rPr>
          <w:i/>
          <w:iCs/>
        </w:rPr>
        <w:t>transformation alimentaire</w:t>
      </w:r>
      <w:r w:rsidRPr="005F01FD">
        <w:rPr>
          <w:i/>
          <w:iCs/>
        </w:rPr>
        <w:t xml:space="preserve"> </w:t>
      </w:r>
      <w:r w:rsidR="00F87529">
        <w:rPr>
          <w:i/>
          <w:iCs/>
        </w:rPr>
        <w:t xml:space="preserve">est une entreprise qui </w:t>
      </w:r>
      <w:r w:rsidR="00F87529" w:rsidRPr="00F87529">
        <w:rPr>
          <w:i/>
          <w:iCs/>
        </w:rPr>
        <w:t>appli</w:t>
      </w:r>
      <w:r w:rsidR="00F87529">
        <w:rPr>
          <w:i/>
          <w:iCs/>
        </w:rPr>
        <w:t>que</w:t>
      </w:r>
      <w:r w:rsidR="00F87529" w:rsidRPr="00F87529">
        <w:rPr>
          <w:i/>
          <w:iCs/>
        </w:rPr>
        <w:t xml:space="preserve"> un procédé qui modifie la nature d’un produit agricole ou alimentaire et qui rapproche celui-ci de l’état dans lequel il sera consommé</w:t>
      </w:r>
      <w:r w:rsidR="00F87529">
        <w:rPr>
          <w:i/>
          <w:iCs/>
        </w:rPr>
        <w:t>.</w:t>
      </w:r>
    </w:p>
    <w:p w14:paraId="4EF31D0B" w14:textId="77777777" w:rsidR="00F87529" w:rsidRPr="00641108" w:rsidRDefault="00F87529" w:rsidP="00641108">
      <w:pPr>
        <w:spacing w:after="0"/>
        <w:ind w:right="321"/>
        <w:jc w:val="both"/>
        <w:rPr>
          <w:sz w:val="24"/>
          <w:szCs w:val="24"/>
        </w:rPr>
      </w:pPr>
    </w:p>
    <w:p w14:paraId="084B68E7" w14:textId="7C0B2541" w:rsidR="00C23622" w:rsidRPr="00641108" w:rsidRDefault="00CB74D4" w:rsidP="00641108">
      <w:pPr>
        <w:spacing w:after="0"/>
        <w:ind w:right="321"/>
        <w:jc w:val="both"/>
        <w:rPr>
          <w:sz w:val="24"/>
          <w:szCs w:val="24"/>
        </w:rPr>
      </w:pPr>
      <w:r w:rsidRPr="00641108">
        <w:rPr>
          <w:sz w:val="24"/>
          <w:szCs w:val="24"/>
        </w:rPr>
        <w:t xml:space="preserve">Si l’entreprise est jugée </w:t>
      </w:r>
      <w:r w:rsidR="00244DD3" w:rsidRPr="00641108">
        <w:rPr>
          <w:sz w:val="24"/>
          <w:szCs w:val="24"/>
        </w:rPr>
        <w:t>éligible</w:t>
      </w:r>
      <w:r w:rsidRPr="00641108">
        <w:rPr>
          <w:sz w:val="24"/>
          <w:szCs w:val="24"/>
        </w:rPr>
        <w:t xml:space="preserve">, la MRC Vallée-de-l’Or remboursera </w:t>
      </w:r>
      <w:r w:rsidR="008737D7" w:rsidRPr="00641108">
        <w:rPr>
          <w:sz w:val="24"/>
          <w:szCs w:val="24"/>
        </w:rPr>
        <w:t>les frais de location de kiosque selon les modalités suivantes :</w:t>
      </w:r>
    </w:p>
    <w:p w14:paraId="19325C77" w14:textId="2E0D2BB7" w:rsidR="008737D7" w:rsidRPr="00641108" w:rsidRDefault="008737D7" w:rsidP="00641108">
      <w:pPr>
        <w:pStyle w:val="Paragraphedeliste"/>
        <w:numPr>
          <w:ilvl w:val="0"/>
          <w:numId w:val="2"/>
        </w:numPr>
        <w:spacing w:after="0"/>
        <w:ind w:right="321"/>
        <w:jc w:val="both"/>
        <w:rPr>
          <w:sz w:val="24"/>
          <w:szCs w:val="24"/>
        </w:rPr>
      </w:pPr>
      <w:r w:rsidRPr="00641108">
        <w:rPr>
          <w:sz w:val="24"/>
          <w:szCs w:val="24"/>
        </w:rPr>
        <w:t xml:space="preserve">100 % des frais admissibles, excluant les taxes, pour </w:t>
      </w:r>
      <w:bookmarkStart w:id="0" w:name="_Hlk167280990"/>
      <w:r w:rsidRPr="00641108">
        <w:rPr>
          <w:sz w:val="24"/>
          <w:szCs w:val="24"/>
        </w:rPr>
        <w:t xml:space="preserve">les entreprises </w:t>
      </w:r>
      <w:bookmarkEnd w:id="0"/>
      <w:r w:rsidR="0051213E">
        <w:rPr>
          <w:sz w:val="24"/>
          <w:szCs w:val="24"/>
        </w:rPr>
        <w:t xml:space="preserve">provenant de </w:t>
      </w:r>
      <w:r w:rsidRPr="00641108">
        <w:rPr>
          <w:sz w:val="24"/>
          <w:szCs w:val="24"/>
        </w:rPr>
        <w:t xml:space="preserve">la MRC de </w:t>
      </w:r>
      <w:r w:rsidR="0051213E">
        <w:rPr>
          <w:sz w:val="24"/>
          <w:szCs w:val="24"/>
        </w:rPr>
        <w:t>l</w:t>
      </w:r>
      <w:r w:rsidRPr="00641108">
        <w:rPr>
          <w:sz w:val="24"/>
          <w:szCs w:val="24"/>
        </w:rPr>
        <w:t xml:space="preserve">a </w:t>
      </w:r>
      <w:proofErr w:type="spellStart"/>
      <w:r w:rsidRPr="00641108">
        <w:rPr>
          <w:sz w:val="24"/>
          <w:szCs w:val="24"/>
        </w:rPr>
        <w:t>Vallée-de-l’Or</w:t>
      </w:r>
      <w:proofErr w:type="spellEnd"/>
      <w:r w:rsidRPr="00641108">
        <w:rPr>
          <w:sz w:val="24"/>
          <w:szCs w:val="24"/>
        </w:rPr>
        <w:t>.</w:t>
      </w:r>
    </w:p>
    <w:p w14:paraId="7AD7799E" w14:textId="7C8B7359" w:rsidR="008737D7" w:rsidRPr="00641108" w:rsidRDefault="002F2E0E" w:rsidP="00641108">
      <w:pPr>
        <w:pStyle w:val="Paragraphedeliste"/>
        <w:numPr>
          <w:ilvl w:val="0"/>
          <w:numId w:val="2"/>
        </w:numPr>
        <w:spacing w:after="0"/>
        <w:ind w:right="32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53D8E" w:rsidRPr="00641108">
        <w:rPr>
          <w:sz w:val="24"/>
          <w:szCs w:val="24"/>
        </w:rPr>
        <w:t>0</w:t>
      </w:r>
      <w:r w:rsidR="008737D7" w:rsidRPr="00641108">
        <w:rPr>
          <w:sz w:val="24"/>
          <w:szCs w:val="24"/>
        </w:rPr>
        <w:t>% des frais admissibles, excluant</w:t>
      </w:r>
      <w:r w:rsidR="00E85067">
        <w:rPr>
          <w:sz w:val="24"/>
          <w:szCs w:val="24"/>
        </w:rPr>
        <w:t>s</w:t>
      </w:r>
      <w:r w:rsidR="008737D7" w:rsidRPr="00641108">
        <w:rPr>
          <w:sz w:val="24"/>
          <w:szCs w:val="24"/>
        </w:rPr>
        <w:t xml:space="preserve"> les taxes, pour les entreprises </w:t>
      </w:r>
      <w:r w:rsidR="000A5686">
        <w:rPr>
          <w:sz w:val="24"/>
          <w:szCs w:val="24"/>
        </w:rPr>
        <w:t>de l’Abitibi-Témiscamingue.</w:t>
      </w:r>
    </w:p>
    <w:p w14:paraId="7165F2DB" w14:textId="77777777" w:rsidR="009945A9" w:rsidRPr="009945A9" w:rsidRDefault="009945A9" w:rsidP="00641108">
      <w:pPr>
        <w:spacing w:after="0"/>
        <w:ind w:right="321"/>
        <w:jc w:val="both"/>
        <w:rPr>
          <w:sz w:val="20"/>
          <w:szCs w:val="20"/>
        </w:rPr>
      </w:pPr>
    </w:p>
    <w:p w14:paraId="7725DC2B" w14:textId="6884618A" w:rsidR="00331507" w:rsidRPr="00641108" w:rsidRDefault="00331507" w:rsidP="00641108">
      <w:pPr>
        <w:spacing w:after="0"/>
        <w:ind w:right="321"/>
        <w:jc w:val="both"/>
        <w:rPr>
          <w:i/>
          <w:iCs/>
          <w:sz w:val="24"/>
          <w:szCs w:val="24"/>
        </w:rPr>
      </w:pPr>
      <w:r w:rsidRPr="00641108">
        <w:rPr>
          <w:b/>
          <w:bCs/>
          <w:i/>
          <w:iCs/>
          <w:sz w:val="24"/>
          <w:szCs w:val="24"/>
        </w:rPr>
        <w:t xml:space="preserve">Veuillez prendre note que le remboursement sera effectué </w:t>
      </w:r>
      <w:r w:rsidR="0088459A" w:rsidRPr="00641108">
        <w:rPr>
          <w:b/>
          <w:bCs/>
          <w:i/>
          <w:iCs/>
          <w:sz w:val="24"/>
          <w:szCs w:val="24"/>
        </w:rPr>
        <w:t xml:space="preserve">en un versement </w:t>
      </w:r>
      <w:r w:rsidR="001163A0" w:rsidRPr="00641108">
        <w:rPr>
          <w:b/>
          <w:bCs/>
          <w:i/>
          <w:iCs/>
          <w:sz w:val="24"/>
          <w:szCs w:val="24"/>
        </w:rPr>
        <w:t>après</w:t>
      </w:r>
      <w:r w:rsidRPr="00641108">
        <w:rPr>
          <w:b/>
          <w:bCs/>
          <w:i/>
          <w:iCs/>
          <w:sz w:val="24"/>
          <w:szCs w:val="24"/>
        </w:rPr>
        <w:t xml:space="preserve"> la fin de la saison estivale</w:t>
      </w:r>
      <w:r w:rsidR="0088459A" w:rsidRPr="00641108">
        <w:rPr>
          <w:i/>
          <w:iCs/>
          <w:sz w:val="24"/>
          <w:szCs w:val="24"/>
        </w:rPr>
        <w:t>.</w:t>
      </w:r>
      <w:r w:rsidRPr="00641108">
        <w:rPr>
          <w:i/>
          <w:iCs/>
          <w:sz w:val="24"/>
          <w:szCs w:val="24"/>
        </w:rPr>
        <w:t xml:space="preserve"> </w:t>
      </w:r>
      <w:r w:rsidR="0088459A" w:rsidRPr="00641108">
        <w:rPr>
          <w:i/>
          <w:iCs/>
          <w:sz w:val="24"/>
          <w:szCs w:val="24"/>
        </w:rPr>
        <w:t xml:space="preserve">Pour ce faire, vous devrez nous </w:t>
      </w:r>
      <w:r w:rsidR="003A4984" w:rsidRPr="00641108">
        <w:rPr>
          <w:i/>
          <w:iCs/>
          <w:sz w:val="24"/>
          <w:szCs w:val="24"/>
        </w:rPr>
        <w:t>envoy</w:t>
      </w:r>
      <w:r w:rsidR="00F314C5">
        <w:rPr>
          <w:i/>
          <w:iCs/>
          <w:sz w:val="24"/>
          <w:szCs w:val="24"/>
        </w:rPr>
        <w:t>er</w:t>
      </w:r>
      <w:r w:rsidR="0088459A" w:rsidRPr="00641108">
        <w:rPr>
          <w:i/>
          <w:iCs/>
          <w:sz w:val="24"/>
          <w:szCs w:val="24"/>
        </w:rPr>
        <w:t xml:space="preserve"> par courriel</w:t>
      </w:r>
      <w:r w:rsidRPr="00641108">
        <w:rPr>
          <w:i/>
          <w:iCs/>
          <w:sz w:val="24"/>
          <w:szCs w:val="24"/>
        </w:rPr>
        <w:t xml:space="preserve"> </w:t>
      </w:r>
      <w:r w:rsidR="003A4984" w:rsidRPr="00641108">
        <w:rPr>
          <w:i/>
          <w:iCs/>
          <w:sz w:val="24"/>
          <w:szCs w:val="24"/>
        </w:rPr>
        <w:t>le</w:t>
      </w:r>
      <w:r w:rsidRPr="00641108">
        <w:rPr>
          <w:i/>
          <w:iCs/>
          <w:sz w:val="24"/>
          <w:szCs w:val="24"/>
        </w:rPr>
        <w:t xml:space="preserve"> formulaire de réclamation</w:t>
      </w:r>
      <w:r w:rsidR="00244DD3" w:rsidRPr="00641108">
        <w:rPr>
          <w:i/>
          <w:iCs/>
          <w:sz w:val="24"/>
          <w:szCs w:val="24"/>
        </w:rPr>
        <w:t xml:space="preserve"> </w:t>
      </w:r>
      <w:r w:rsidR="00244DD3" w:rsidRPr="00424500">
        <w:rPr>
          <w:sz w:val="24"/>
          <w:szCs w:val="24"/>
        </w:rPr>
        <w:t>(à venir)</w:t>
      </w:r>
      <w:r w:rsidR="003A4984" w:rsidRPr="00424500">
        <w:rPr>
          <w:sz w:val="24"/>
          <w:szCs w:val="24"/>
        </w:rPr>
        <w:t>,</w:t>
      </w:r>
      <w:r w:rsidR="003A4984" w:rsidRPr="00641108">
        <w:rPr>
          <w:i/>
          <w:iCs/>
          <w:sz w:val="24"/>
          <w:szCs w:val="24"/>
        </w:rPr>
        <w:t xml:space="preserve"> </w:t>
      </w:r>
      <w:r w:rsidR="0088459A" w:rsidRPr="00641108">
        <w:rPr>
          <w:i/>
          <w:iCs/>
          <w:sz w:val="24"/>
          <w:szCs w:val="24"/>
        </w:rPr>
        <w:t>les</w:t>
      </w:r>
      <w:r w:rsidRPr="00641108">
        <w:rPr>
          <w:i/>
          <w:iCs/>
          <w:sz w:val="24"/>
          <w:szCs w:val="24"/>
        </w:rPr>
        <w:t xml:space="preserve"> factures</w:t>
      </w:r>
      <w:r w:rsidR="00510751" w:rsidRPr="00641108">
        <w:rPr>
          <w:i/>
          <w:iCs/>
          <w:sz w:val="24"/>
          <w:szCs w:val="24"/>
        </w:rPr>
        <w:t xml:space="preserve"> et preuves de paiement </w:t>
      </w:r>
      <w:r w:rsidRPr="00641108">
        <w:rPr>
          <w:i/>
          <w:iCs/>
          <w:sz w:val="24"/>
          <w:szCs w:val="24"/>
        </w:rPr>
        <w:t>associées aux frais de location</w:t>
      </w:r>
      <w:r w:rsidR="0088459A" w:rsidRPr="00641108">
        <w:rPr>
          <w:i/>
          <w:iCs/>
          <w:sz w:val="24"/>
          <w:szCs w:val="24"/>
        </w:rPr>
        <w:t>.  La MRC</w:t>
      </w:r>
      <w:r w:rsidR="001163A0" w:rsidRPr="00641108">
        <w:rPr>
          <w:i/>
          <w:iCs/>
          <w:sz w:val="24"/>
          <w:szCs w:val="24"/>
        </w:rPr>
        <w:t xml:space="preserve"> de La Vallée-de-l’Or</w:t>
      </w:r>
      <w:r w:rsidR="0088459A" w:rsidRPr="00641108">
        <w:rPr>
          <w:i/>
          <w:iCs/>
          <w:sz w:val="24"/>
          <w:szCs w:val="24"/>
        </w:rPr>
        <w:t xml:space="preserve"> </w:t>
      </w:r>
      <w:r w:rsidR="008737D7" w:rsidRPr="00641108">
        <w:rPr>
          <w:i/>
          <w:iCs/>
          <w:sz w:val="24"/>
          <w:szCs w:val="24"/>
        </w:rPr>
        <w:t>valid</w:t>
      </w:r>
      <w:r w:rsidR="0088459A" w:rsidRPr="00641108">
        <w:rPr>
          <w:i/>
          <w:iCs/>
          <w:sz w:val="24"/>
          <w:szCs w:val="24"/>
        </w:rPr>
        <w:t>era</w:t>
      </w:r>
      <w:r w:rsidR="00244DD3" w:rsidRPr="00641108">
        <w:rPr>
          <w:i/>
          <w:iCs/>
          <w:sz w:val="24"/>
          <w:szCs w:val="24"/>
        </w:rPr>
        <w:t xml:space="preserve"> par la suite</w:t>
      </w:r>
      <w:r w:rsidR="0088459A" w:rsidRPr="00641108">
        <w:rPr>
          <w:i/>
          <w:iCs/>
          <w:sz w:val="24"/>
          <w:szCs w:val="24"/>
        </w:rPr>
        <w:t xml:space="preserve"> les</w:t>
      </w:r>
      <w:r w:rsidRPr="00641108">
        <w:rPr>
          <w:i/>
          <w:iCs/>
          <w:sz w:val="24"/>
          <w:szCs w:val="24"/>
        </w:rPr>
        <w:t xml:space="preserve"> présences de votre entreprise </w:t>
      </w:r>
      <w:r w:rsidR="008737D7" w:rsidRPr="00641108">
        <w:rPr>
          <w:i/>
          <w:iCs/>
          <w:sz w:val="24"/>
          <w:szCs w:val="24"/>
        </w:rPr>
        <w:t>auprès</w:t>
      </w:r>
      <w:r w:rsidR="0088459A" w:rsidRPr="00641108">
        <w:rPr>
          <w:i/>
          <w:iCs/>
          <w:sz w:val="24"/>
          <w:szCs w:val="24"/>
        </w:rPr>
        <w:t xml:space="preserve"> des</w:t>
      </w:r>
      <w:r w:rsidRPr="00641108">
        <w:rPr>
          <w:i/>
          <w:iCs/>
          <w:sz w:val="24"/>
          <w:szCs w:val="24"/>
        </w:rPr>
        <w:t xml:space="preserve"> gestionnaires des marchés publics</w:t>
      </w:r>
      <w:r w:rsidR="001163A0" w:rsidRPr="00641108">
        <w:rPr>
          <w:i/>
          <w:iCs/>
          <w:sz w:val="24"/>
          <w:szCs w:val="24"/>
        </w:rPr>
        <w:t xml:space="preserve"> et procèdera</w:t>
      </w:r>
      <w:r w:rsidR="00510751" w:rsidRPr="00641108">
        <w:rPr>
          <w:i/>
          <w:iCs/>
          <w:sz w:val="24"/>
          <w:szCs w:val="24"/>
        </w:rPr>
        <w:t xml:space="preserve"> </w:t>
      </w:r>
      <w:r w:rsidR="001163A0" w:rsidRPr="00641108">
        <w:rPr>
          <w:i/>
          <w:iCs/>
          <w:sz w:val="24"/>
          <w:szCs w:val="24"/>
        </w:rPr>
        <w:t>au paiement par virement bancaire.</w:t>
      </w:r>
    </w:p>
    <w:p w14:paraId="6FCA2E2C" w14:textId="77777777" w:rsidR="007C3BD1" w:rsidRDefault="007C3BD1" w:rsidP="00641108">
      <w:pPr>
        <w:spacing w:after="0" w:line="240" w:lineRule="auto"/>
        <w:ind w:right="37"/>
        <w:jc w:val="both"/>
        <w:rPr>
          <w:sz w:val="24"/>
          <w:szCs w:val="24"/>
        </w:rPr>
      </w:pPr>
    </w:p>
    <w:p w14:paraId="4A973D34" w14:textId="77777777" w:rsidR="00AD0878" w:rsidRDefault="00AD0878" w:rsidP="00641108">
      <w:pPr>
        <w:spacing w:after="0" w:line="240" w:lineRule="auto"/>
        <w:ind w:right="37"/>
        <w:jc w:val="both"/>
      </w:pPr>
    </w:p>
    <w:p w14:paraId="79710BD9" w14:textId="77777777" w:rsidR="009945A9" w:rsidRDefault="009945A9" w:rsidP="00641108">
      <w:pPr>
        <w:spacing w:after="0" w:line="240" w:lineRule="auto"/>
        <w:ind w:right="37"/>
        <w:jc w:val="both"/>
      </w:pPr>
    </w:p>
    <w:p w14:paraId="4E10391C" w14:textId="77777777" w:rsidR="009945A9" w:rsidRDefault="009945A9" w:rsidP="00641108">
      <w:pPr>
        <w:spacing w:after="0" w:line="240" w:lineRule="auto"/>
        <w:ind w:right="37"/>
        <w:jc w:val="both"/>
      </w:pPr>
    </w:p>
    <w:tbl>
      <w:tblPr>
        <w:tblStyle w:val="TableauGrille5Fonc-Accentuation1"/>
        <w:tblW w:w="4731" w:type="pct"/>
        <w:tblInd w:w="269" w:type="dxa"/>
        <w:tblLook w:val="04A0" w:firstRow="1" w:lastRow="0" w:firstColumn="1" w:lastColumn="0" w:noHBand="0" w:noVBand="1"/>
      </w:tblPr>
      <w:tblGrid>
        <w:gridCol w:w="1300"/>
        <w:gridCol w:w="1304"/>
        <w:gridCol w:w="4081"/>
        <w:gridCol w:w="776"/>
        <w:gridCol w:w="2471"/>
      </w:tblGrid>
      <w:tr w:rsidR="00DD57B1" w14:paraId="37CD5F65" w14:textId="77777777" w:rsidTr="004D2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4B3FBBC" w14:textId="25BEA6C0" w:rsidR="00DD57B1" w:rsidRDefault="00DD57B1" w:rsidP="00DD57B1">
            <w:pPr>
              <w:jc w:val="center"/>
            </w:pPr>
            <w:r>
              <w:t>Informations pour le remboursement des dépenses liées à la location de kiosque aux marchés publics sur le territoire de la Vallée-de-l’Or</w:t>
            </w:r>
            <w:r w:rsidR="00041EA5">
              <w:t>, pour la saison 202</w:t>
            </w:r>
            <w:r w:rsidR="000A5686">
              <w:t>5</w:t>
            </w:r>
          </w:p>
        </w:tc>
      </w:tr>
      <w:tr w:rsidR="00295224" w14:paraId="26768D9D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3F1988F" w14:textId="77777777" w:rsidR="00295224" w:rsidRPr="00510751" w:rsidRDefault="00295224" w:rsidP="00641108">
            <w:pPr>
              <w:rPr>
                <w:sz w:val="16"/>
                <w:szCs w:val="16"/>
              </w:rPr>
            </w:pPr>
          </w:p>
        </w:tc>
      </w:tr>
      <w:tr w:rsidR="00DD57B1" w14:paraId="1D86CD62" w14:textId="77777777" w:rsidTr="004D25EE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21CFA552" w14:textId="64E98B82" w:rsidR="00505E23" w:rsidRPr="004D25EE" w:rsidRDefault="00DD57B1" w:rsidP="003107E4">
            <w:pPr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Nom de l’entreprise :</w:t>
            </w:r>
          </w:p>
        </w:tc>
        <w:tc>
          <w:tcPr>
            <w:tcW w:w="3684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605F4A2" w14:textId="77777777" w:rsidR="00505E23" w:rsidRPr="004D25EE" w:rsidRDefault="0050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26E" w14:paraId="7A37E884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567BC580" w14:textId="5D4EDB77" w:rsidR="00D0326E" w:rsidRPr="004D25EE" w:rsidRDefault="00D0326E" w:rsidP="003107E4">
            <w:pPr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Numéro d’entreprise du Québec</w:t>
            </w:r>
            <w:r w:rsidR="004D25EE">
              <w:rPr>
                <w:b w:val="0"/>
                <w:bCs w:val="0"/>
              </w:rPr>
              <w:t xml:space="preserve"> (NEQ)</w:t>
            </w:r>
          </w:p>
        </w:tc>
        <w:tc>
          <w:tcPr>
            <w:tcW w:w="3684" w:type="pct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5549DD5" w14:textId="77777777" w:rsidR="00D0326E" w:rsidRPr="004D25EE" w:rsidRDefault="00D03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674" w14:paraId="60F2B988" w14:textId="77777777" w:rsidTr="004D25E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5CD18885" w14:textId="63EF0D99" w:rsidR="00505E23" w:rsidRPr="004D25EE" w:rsidRDefault="00DD57B1" w:rsidP="003107E4">
            <w:pPr>
              <w:spacing w:after="160" w:line="259" w:lineRule="auto"/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Nom du propriétaire :</w:t>
            </w:r>
          </w:p>
        </w:tc>
        <w:tc>
          <w:tcPr>
            <w:tcW w:w="3684" w:type="pct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D6F468E" w14:textId="77777777" w:rsidR="00505E23" w:rsidRPr="004D25EE" w:rsidRDefault="00505E23" w:rsidP="004D25EE">
            <w:pPr>
              <w:ind w:right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23" w14:paraId="399CAC93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5AC491A9" w14:textId="7527CA72" w:rsidR="00DD57B1" w:rsidRPr="004D25EE" w:rsidRDefault="00DD57B1" w:rsidP="003107E4">
            <w:pPr>
              <w:spacing w:after="160" w:line="259" w:lineRule="auto"/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Adresse de l’entreprise :</w:t>
            </w:r>
          </w:p>
        </w:tc>
        <w:tc>
          <w:tcPr>
            <w:tcW w:w="3684" w:type="pct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4F8E1" w14:textId="77777777" w:rsidR="00505E23" w:rsidRPr="004D25EE" w:rsidRDefault="0050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E23" w14:paraId="13A0B39B" w14:textId="77777777" w:rsidTr="004D2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4A955F44" w14:textId="262F51EC" w:rsidR="00DD57B1" w:rsidRPr="004D25EE" w:rsidRDefault="00DD57B1" w:rsidP="003107E4">
            <w:pPr>
              <w:spacing w:after="160" w:line="259" w:lineRule="auto"/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Numéro de téléphone :</w:t>
            </w:r>
          </w:p>
        </w:tc>
        <w:tc>
          <w:tcPr>
            <w:tcW w:w="368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481B4" w14:textId="77777777" w:rsidR="00505E23" w:rsidRPr="004D25EE" w:rsidRDefault="0050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DB8" w14:paraId="504B14D7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441D50D0" w14:textId="0BEB4146" w:rsidR="00E03DB8" w:rsidRPr="004D25EE" w:rsidRDefault="00E03DB8" w:rsidP="003107E4">
            <w:pPr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Adresse courriel :</w:t>
            </w:r>
          </w:p>
        </w:tc>
        <w:tc>
          <w:tcPr>
            <w:tcW w:w="368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B20A8A" w14:textId="77777777" w:rsidR="00E03DB8" w:rsidRPr="004D25EE" w:rsidRDefault="00E03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F5" w14:paraId="481FBAC6" w14:textId="77777777" w:rsidTr="004D25E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 w:val="restart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30509C8B" w14:textId="536356D8" w:rsidR="003A62F5" w:rsidRPr="004D25EE" w:rsidRDefault="00B37AF2" w:rsidP="003107E4">
            <w:pPr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Liste des produits offerts</w:t>
            </w:r>
          </w:p>
        </w:tc>
        <w:tc>
          <w:tcPr>
            <w:tcW w:w="3684" w:type="pct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923C4B" w14:textId="77777777" w:rsidR="003A62F5" w:rsidRPr="004D25EE" w:rsidRDefault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F5" w14:paraId="6CF74DF0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044D1A3F" w14:textId="77777777" w:rsidR="003A62F5" w:rsidRPr="004D25EE" w:rsidRDefault="003A62F5" w:rsidP="003107E4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48DF9" w14:textId="77777777" w:rsidR="003A62F5" w:rsidRPr="004D25EE" w:rsidRDefault="003A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F5" w14:paraId="7847222A" w14:textId="77777777" w:rsidTr="004D25E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6675F123" w14:textId="77777777" w:rsidR="003A62F5" w:rsidRPr="004D25EE" w:rsidRDefault="003A62F5" w:rsidP="003107E4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0BCC8" w14:textId="77777777" w:rsidR="003A62F5" w:rsidRPr="004D25EE" w:rsidRDefault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EA5" w14:paraId="5B09DDE0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2" w:space="0" w:color="auto"/>
            </w:tcBorders>
            <w:vAlign w:val="center"/>
          </w:tcPr>
          <w:p w14:paraId="1716F34A" w14:textId="14DB7CC7" w:rsidR="00041EA5" w:rsidRPr="004D25EE" w:rsidRDefault="00041EA5" w:rsidP="003107E4">
            <w:pPr>
              <w:spacing w:after="160" w:line="259" w:lineRule="auto"/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Date</w:t>
            </w:r>
            <w:r w:rsidR="00CB74D4" w:rsidRPr="004D25EE">
              <w:rPr>
                <w:b w:val="0"/>
                <w:bCs w:val="0"/>
              </w:rPr>
              <w:t>s</w:t>
            </w:r>
            <w:r w:rsidRPr="004D25EE">
              <w:rPr>
                <w:b w:val="0"/>
                <w:bCs w:val="0"/>
              </w:rPr>
              <w:t xml:space="preserve"> de</w:t>
            </w:r>
            <w:r w:rsidR="0088459A" w:rsidRPr="004D25EE">
              <w:rPr>
                <w:b w:val="0"/>
                <w:bCs w:val="0"/>
              </w:rPr>
              <w:t>s</w:t>
            </w:r>
            <w:r w:rsidR="00596800" w:rsidRPr="004D25EE">
              <w:rPr>
                <w:b w:val="0"/>
                <w:bCs w:val="0"/>
              </w:rPr>
              <w:t xml:space="preserve"> présence</w:t>
            </w:r>
            <w:r w:rsidR="0088459A" w:rsidRPr="004D25EE">
              <w:rPr>
                <w:b w:val="0"/>
                <w:bCs w:val="0"/>
              </w:rPr>
              <w:t>s</w:t>
            </w:r>
            <w:r w:rsidRPr="004D25EE">
              <w:rPr>
                <w:b w:val="0"/>
                <w:bCs w:val="0"/>
              </w:rPr>
              <w:t xml:space="preserve"> au marché public de la Vallée-de-l’Or (</w:t>
            </w:r>
            <w:r w:rsidRPr="004D25EE">
              <w:rPr>
                <w:b w:val="0"/>
                <w:bCs w:val="0"/>
                <w:u w:val="single"/>
              </w:rPr>
              <w:t>Val-d’Or</w:t>
            </w:r>
            <w:r w:rsidR="004150C2" w:rsidRPr="004D25EE">
              <w:rPr>
                <w:b w:val="0"/>
                <w:bCs w:val="0"/>
                <w:u w:val="single"/>
              </w:rPr>
              <w:t>)</w:t>
            </w:r>
            <w:r w:rsidRPr="004D25EE">
              <w:rPr>
                <w:b w:val="0"/>
                <w:bCs w:val="0"/>
              </w:rPr>
              <w:t xml:space="preserve">  </w:t>
            </w:r>
          </w:p>
        </w:tc>
        <w:tc>
          <w:tcPr>
            <w:tcW w:w="3684" w:type="pct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01747" w14:textId="77777777" w:rsidR="00041EA5" w:rsidRPr="004D25EE" w:rsidRDefault="00041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1EA5" w14:paraId="6F4791C1" w14:textId="77777777" w:rsidTr="004D25E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358667" w14:textId="77777777" w:rsidR="00041EA5" w:rsidRPr="004D25EE" w:rsidRDefault="00041EA5" w:rsidP="003107E4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F71E414" w14:textId="77777777" w:rsidR="00041EA5" w:rsidRPr="004D25EE" w:rsidRDefault="00041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1EA5" w14:paraId="09C6FD24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/>
            <w:tcBorders>
              <w:left w:val="single" w:sz="12" w:space="0" w:color="auto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14:paraId="04A93CAC" w14:textId="77777777" w:rsidR="00041EA5" w:rsidRPr="004D25EE" w:rsidRDefault="00041EA5" w:rsidP="003107E4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B893519" w14:textId="77777777" w:rsidR="00041EA5" w:rsidRPr="004D25EE" w:rsidRDefault="00041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F5" w14:paraId="476A8EF0" w14:textId="77777777" w:rsidTr="004D25EE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5388EA77" w14:textId="6CE74880" w:rsidR="003A62F5" w:rsidRPr="004D25EE" w:rsidRDefault="003A62F5" w:rsidP="003A62F5">
            <w:pPr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Coût estimé des locations de kiosque</w:t>
            </w:r>
          </w:p>
        </w:tc>
        <w:tc>
          <w:tcPr>
            <w:tcW w:w="3684" w:type="pct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697C4ED" w14:textId="77777777" w:rsidR="003A62F5" w:rsidRPr="004D25EE" w:rsidRDefault="003A62F5" w:rsidP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F5" w14:paraId="5B00F4F5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2" w:space="0" w:color="auto"/>
            </w:tcBorders>
            <w:vAlign w:val="center"/>
          </w:tcPr>
          <w:p w14:paraId="2491C779" w14:textId="38C21E29" w:rsidR="003A62F5" w:rsidRPr="004D25EE" w:rsidRDefault="003A62F5" w:rsidP="003A62F5">
            <w:pPr>
              <w:spacing w:after="160" w:line="259" w:lineRule="auto"/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 xml:space="preserve">Dates des présences au marché public de </w:t>
            </w:r>
            <w:r w:rsidRPr="004D25EE">
              <w:rPr>
                <w:b w:val="0"/>
                <w:bCs w:val="0"/>
                <w:u w:val="single"/>
              </w:rPr>
              <w:t>Malartic</w:t>
            </w:r>
            <w:r w:rsidRPr="004D25EE">
              <w:rPr>
                <w:b w:val="0"/>
                <w:bCs w:val="0"/>
              </w:rPr>
              <w:t xml:space="preserve"> </w:t>
            </w:r>
          </w:p>
        </w:tc>
        <w:tc>
          <w:tcPr>
            <w:tcW w:w="3684" w:type="pct"/>
            <w:gridSpan w:val="3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79E326B" w14:textId="77777777" w:rsidR="003A62F5" w:rsidRPr="004D25EE" w:rsidRDefault="003A62F5" w:rsidP="003A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F5" w14:paraId="0A143506" w14:textId="77777777" w:rsidTr="004D25EE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8AEC000" w14:textId="77777777" w:rsidR="003A62F5" w:rsidRPr="004D25EE" w:rsidRDefault="003A62F5" w:rsidP="003A62F5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3088CF3" w14:textId="77777777" w:rsidR="003A62F5" w:rsidRPr="004D25EE" w:rsidRDefault="003A62F5" w:rsidP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F5" w14:paraId="536AA3AD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/>
            <w:tcBorders>
              <w:left w:val="single" w:sz="12" w:space="0" w:color="auto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14:paraId="3A8EB4C2" w14:textId="77777777" w:rsidR="003A62F5" w:rsidRPr="004D25EE" w:rsidRDefault="003A62F5" w:rsidP="003A62F5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FB95125" w14:textId="77777777" w:rsidR="003A62F5" w:rsidRPr="004D25EE" w:rsidRDefault="003A62F5" w:rsidP="003A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F5" w14:paraId="5626F1DB" w14:textId="77777777" w:rsidTr="004D25E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1978B8E3" w14:textId="2ACF9C88" w:rsidR="003A62F5" w:rsidRPr="004D25EE" w:rsidRDefault="003A62F5" w:rsidP="003A62F5">
            <w:pPr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Coût estimé des locations de kiosque</w:t>
            </w:r>
          </w:p>
        </w:tc>
        <w:tc>
          <w:tcPr>
            <w:tcW w:w="3684" w:type="pct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759ABF7" w14:textId="77777777" w:rsidR="003A62F5" w:rsidRPr="004D25EE" w:rsidRDefault="003A62F5" w:rsidP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F5" w14:paraId="5BA35AE0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2" w:space="0" w:color="auto"/>
            </w:tcBorders>
            <w:vAlign w:val="center"/>
          </w:tcPr>
          <w:p w14:paraId="4EC23CC9" w14:textId="04F9B5FB" w:rsidR="003A62F5" w:rsidRPr="004D25EE" w:rsidRDefault="003A62F5" w:rsidP="003A62F5">
            <w:pPr>
              <w:spacing w:after="160" w:line="259" w:lineRule="auto"/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Dates des présences au marché public de</w:t>
            </w:r>
            <w:r w:rsidRPr="004D25EE">
              <w:rPr>
                <w:b w:val="0"/>
                <w:bCs w:val="0"/>
                <w:color w:val="auto"/>
              </w:rPr>
              <w:t xml:space="preserve"> </w:t>
            </w:r>
            <w:r w:rsidRPr="004D25EE">
              <w:rPr>
                <w:b w:val="0"/>
                <w:bCs w:val="0"/>
                <w:u w:val="single"/>
              </w:rPr>
              <w:t>Senneterre</w:t>
            </w:r>
            <w:r w:rsidRPr="004D25EE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3684" w:type="pct"/>
            <w:gridSpan w:val="3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CA2C66F" w14:textId="77777777" w:rsidR="003A62F5" w:rsidRPr="004D25EE" w:rsidRDefault="003A62F5" w:rsidP="003A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F5" w14:paraId="0C00E364" w14:textId="77777777" w:rsidTr="004D25E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A3BCD61" w14:textId="77777777" w:rsidR="003A62F5" w:rsidRPr="004D25EE" w:rsidRDefault="003A62F5" w:rsidP="003A62F5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42FD6C" w14:textId="77777777" w:rsidR="003A62F5" w:rsidRPr="004D25EE" w:rsidRDefault="003A62F5" w:rsidP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108" w14:paraId="19A0E1F0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vMerge/>
            <w:tcBorders>
              <w:left w:val="single" w:sz="12" w:space="0" w:color="auto"/>
              <w:bottom w:val="single" w:sz="12" w:space="0" w:color="FFFFFF" w:themeColor="background1"/>
              <w:right w:val="single" w:sz="2" w:space="0" w:color="auto"/>
            </w:tcBorders>
            <w:vAlign w:val="center"/>
          </w:tcPr>
          <w:p w14:paraId="328C663B" w14:textId="77777777" w:rsidR="003A62F5" w:rsidRPr="004D25EE" w:rsidRDefault="003A62F5" w:rsidP="003A62F5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AB0E3" w14:textId="77777777" w:rsidR="003A62F5" w:rsidRPr="004D25EE" w:rsidRDefault="003A62F5" w:rsidP="003A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108" w14:paraId="4E6E7472" w14:textId="77777777" w:rsidTr="004D25EE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24841" w14:textId="5DA80337" w:rsidR="003A62F5" w:rsidRPr="004D25EE" w:rsidRDefault="003A62F5" w:rsidP="003A62F5">
            <w:pPr>
              <w:spacing w:after="160" w:line="259" w:lineRule="auto"/>
              <w:rPr>
                <w:b w:val="0"/>
                <w:bCs w:val="0"/>
              </w:rPr>
            </w:pPr>
            <w:r w:rsidRPr="004D25EE">
              <w:rPr>
                <w:b w:val="0"/>
                <w:bCs w:val="0"/>
              </w:rPr>
              <w:t>Coût estimé des locations de kiosque</w:t>
            </w:r>
          </w:p>
        </w:tc>
        <w:tc>
          <w:tcPr>
            <w:tcW w:w="368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FA8934" w14:textId="77777777" w:rsidR="003A62F5" w:rsidRPr="004D25EE" w:rsidRDefault="003A62F5" w:rsidP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F5" w14:paraId="47CB95D7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12" w:space="0" w:color="auto"/>
              <w:left w:val="single" w:sz="12" w:space="0" w:color="FFFFFF"/>
              <w:bottom w:val="single" w:sz="12" w:space="0" w:color="000000"/>
            </w:tcBorders>
            <w:shd w:val="clear" w:color="auto" w:fill="auto"/>
            <w:vAlign w:val="center"/>
          </w:tcPr>
          <w:p w14:paraId="3563DBC4" w14:textId="77777777" w:rsidR="003A62F5" w:rsidRPr="004D25EE" w:rsidRDefault="003A62F5" w:rsidP="003A62F5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12" w:space="0" w:color="auto"/>
              <w:bottom w:val="single" w:sz="12" w:space="0" w:color="000000"/>
              <w:right w:val="single" w:sz="12" w:space="0" w:color="FFFFFF"/>
            </w:tcBorders>
            <w:shd w:val="clear" w:color="auto" w:fill="auto"/>
          </w:tcPr>
          <w:p w14:paraId="52F2CDBC" w14:textId="77777777" w:rsidR="003A62F5" w:rsidRPr="004D25EE" w:rsidRDefault="003A62F5" w:rsidP="003A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F5" w14:paraId="3231AB66" w14:textId="77777777" w:rsidTr="004D25EE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9D983" w14:textId="4780C1B7" w:rsidR="003A62F5" w:rsidRPr="004D25EE" w:rsidRDefault="003A62F5" w:rsidP="004D25EE">
            <w:pPr>
              <w:spacing w:after="160"/>
              <w:rPr>
                <w:b w:val="0"/>
                <w:bCs w:val="0"/>
                <w:color w:val="auto"/>
              </w:rPr>
            </w:pPr>
            <w:r w:rsidRPr="004D25EE">
              <w:rPr>
                <w:b w:val="0"/>
                <w:bCs w:val="0"/>
                <w:color w:val="auto"/>
              </w:rPr>
              <w:t>Coût total du remboursement estimé :</w:t>
            </w:r>
          </w:p>
        </w:tc>
        <w:tc>
          <w:tcPr>
            <w:tcW w:w="3684" w:type="pct"/>
            <w:gridSpan w:val="3"/>
            <w:tcBorders>
              <w:top w:val="single" w:sz="12" w:space="0" w:color="FFFFFF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A5AFE" w14:textId="77777777" w:rsidR="003A62F5" w:rsidRPr="004D25EE" w:rsidRDefault="003A62F5" w:rsidP="004D2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F5" w14:paraId="56CB5DC1" w14:textId="77777777" w:rsidTr="004D2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7F4DFAB" w14:textId="77777777" w:rsidR="003A62F5" w:rsidRPr="00505E23" w:rsidRDefault="003A62F5" w:rsidP="003A62F5">
            <w:pPr>
              <w:rPr>
                <w:b w:val="0"/>
                <w:bCs w:val="0"/>
              </w:rPr>
            </w:pPr>
          </w:p>
        </w:tc>
        <w:tc>
          <w:tcPr>
            <w:tcW w:w="3684" w:type="pct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18357B64" w14:textId="77777777" w:rsidR="003A62F5" w:rsidRDefault="003A62F5" w:rsidP="003A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F5" w14:paraId="59AE5906" w14:textId="77777777" w:rsidTr="004D25E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auto" w:fill="auto"/>
          </w:tcPr>
          <w:p w14:paraId="5E14E3C3" w14:textId="57E27221" w:rsidR="003A62F5" w:rsidRPr="00505E23" w:rsidRDefault="003A62F5" w:rsidP="003A62F5">
            <w:r w:rsidRPr="00156674">
              <w:rPr>
                <w:b w:val="0"/>
                <w:bCs w:val="0"/>
                <w:color w:val="auto"/>
              </w:rPr>
              <w:t>Signature</w:t>
            </w:r>
            <w:r>
              <w:rPr>
                <w:b w:val="0"/>
                <w:bCs w:val="0"/>
                <w:color w:val="auto"/>
              </w:rPr>
              <w:t> :</w:t>
            </w:r>
          </w:p>
        </w:tc>
        <w:tc>
          <w:tcPr>
            <w:tcW w:w="271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  <w:shd w:val="clear" w:color="auto" w:fill="auto"/>
          </w:tcPr>
          <w:p w14:paraId="07D4A2CA" w14:textId="7C5B8547" w:rsidR="003A62F5" w:rsidRPr="00505E23" w:rsidRDefault="003A62F5" w:rsidP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8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auto" w:fill="auto"/>
          </w:tcPr>
          <w:p w14:paraId="6AC53B08" w14:textId="7E675492" w:rsidR="003A62F5" w:rsidRDefault="003A62F5" w:rsidP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 : </w:t>
            </w:r>
          </w:p>
        </w:tc>
        <w:tc>
          <w:tcPr>
            <w:tcW w:w="124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  <w:shd w:val="clear" w:color="auto" w:fill="auto"/>
          </w:tcPr>
          <w:p w14:paraId="0375CFB7" w14:textId="132AC49B" w:rsidR="003A62F5" w:rsidRDefault="003A62F5" w:rsidP="003A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31AF70" w14:textId="77777777" w:rsidR="008C2578" w:rsidRDefault="008C2578" w:rsidP="00E03DB8">
      <w:pPr>
        <w:tabs>
          <w:tab w:val="left" w:pos="2730"/>
          <w:tab w:val="left" w:pos="7980"/>
        </w:tabs>
      </w:pPr>
    </w:p>
    <w:p w14:paraId="5B56F2C8" w14:textId="5C4053BF" w:rsidR="00DD57B1" w:rsidRPr="00641108" w:rsidRDefault="00E03DB8" w:rsidP="00641108">
      <w:pPr>
        <w:pStyle w:val="Paragraphedeliste"/>
        <w:tabs>
          <w:tab w:val="left" w:pos="2730"/>
          <w:tab w:val="left" w:pos="7980"/>
        </w:tabs>
        <w:rPr>
          <w:i/>
          <w:iCs/>
        </w:rPr>
      </w:pPr>
      <w:r>
        <w:rPr>
          <w:i/>
          <w:iCs/>
        </w:rPr>
        <w:t xml:space="preserve">Pour toute demande d’information, veuillez communiquer avec </w:t>
      </w:r>
      <w:r w:rsidR="003A5916">
        <w:rPr>
          <w:i/>
          <w:iCs/>
        </w:rPr>
        <w:t>Mohamed Aziz Gharbi</w:t>
      </w:r>
      <w:r w:rsidR="001163A0">
        <w:rPr>
          <w:i/>
          <w:iCs/>
        </w:rPr>
        <w:t>, conseiller aux entreprises</w:t>
      </w:r>
      <w:r w:rsidR="00641108">
        <w:rPr>
          <w:i/>
          <w:iCs/>
        </w:rPr>
        <w:t xml:space="preserve"> </w:t>
      </w:r>
      <w:r w:rsidR="0088459A" w:rsidRPr="00641108">
        <w:rPr>
          <w:i/>
          <w:iCs/>
        </w:rPr>
        <w:t xml:space="preserve">au </w:t>
      </w:r>
      <w:r w:rsidRPr="00641108">
        <w:rPr>
          <w:i/>
          <w:iCs/>
        </w:rPr>
        <w:t>819-825-7733 poste 2</w:t>
      </w:r>
      <w:r w:rsidR="000A5686">
        <w:rPr>
          <w:i/>
          <w:iCs/>
        </w:rPr>
        <w:t>77</w:t>
      </w:r>
      <w:r w:rsidRPr="00641108">
        <w:rPr>
          <w:i/>
          <w:iCs/>
        </w:rPr>
        <w:t xml:space="preserve"> ou au </w:t>
      </w:r>
      <w:r w:rsidR="000A5686">
        <w:rPr>
          <w:b/>
          <w:bCs/>
          <w:i/>
          <w:iCs/>
        </w:rPr>
        <w:t>mohamedazizgharbi@mrcvo.qc.ca</w:t>
      </w:r>
    </w:p>
    <w:sectPr w:rsidR="00DD57B1" w:rsidRPr="00641108" w:rsidSect="00641108">
      <w:headerReference w:type="default" r:id="rId8"/>
      <w:headerReference w:type="first" r:id="rId9"/>
      <w:footerReference w:type="first" r:id="rId10"/>
      <w:pgSz w:w="12240" w:h="15840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7EC0" w14:textId="77777777" w:rsidR="00223B56" w:rsidRDefault="00223B56" w:rsidP="00470F08">
      <w:pPr>
        <w:spacing w:after="0" w:line="240" w:lineRule="auto"/>
      </w:pPr>
      <w:r>
        <w:separator/>
      </w:r>
    </w:p>
  </w:endnote>
  <w:endnote w:type="continuationSeparator" w:id="0">
    <w:p w14:paraId="13D085FD" w14:textId="77777777" w:rsidR="00223B56" w:rsidRDefault="00223B56" w:rsidP="0047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D193" w14:textId="4567D988" w:rsidR="00BC34F8" w:rsidRPr="00BC34F8" w:rsidRDefault="00BC34F8" w:rsidP="00BC34F8">
    <w:pPr>
      <w:pStyle w:val="Pieddepage"/>
      <w:jc w:val="center"/>
      <w:rPr>
        <w:sz w:val="18"/>
        <w:szCs w:val="18"/>
      </w:rPr>
    </w:pPr>
    <w:r w:rsidRPr="00BC34F8">
      <w:rPr>
        <w:sz w:val="18"/>
        <w:szCs w:val="18"/>
      </w:rPr>
      <w:t xml:space="preserve">Formulaire </w:t>
    </w:r>
    <w:r>
      <w:rPr>
        <w:sz w:val="18"/>
        <w:szCs w:val="18"/>
      </w:rPr>
      <w:t xml:space="preserve">réclamation de dépense (kiosque) </w:t>
    </w:r>
    <w:r w:rsidRPr="00BC34F8">
      <w:rPr>
        <w:sz w:val="18"/>
        <w:szCs w:val="18"/>
      </w:rPr>
      <w:t>2024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M</w:t>
    </w:r>
    <w:r w:rsidRPr="00BC34F8">
      <w:rPr>
        <w:sz w:val="18"/>
        <w:szCs w:val="18"/>
      </w:rPr>
      <w:t>ise à jour : 23 avril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41EE" w14:textId="77777777" w:rsidR="00223B56" w:rsidRDefault="00223B56" w:rsidP="00470F08">
      <w:pPr>
        <w:spacing w:after="0" w:line="240" w:lineRule="auto"/>
      </w:pPr>
      <w:r>
        <w:separator/>
      </w:r>
    </w:p>
  </w:footnote>
  <w:footnote w:type="continuationSeparator" w:id="0">
    <w:p w14:paraId="785B08C0" w14:textId="77777777" w:rsidR="00223B56" w:rsidRDefault="00223B56" w:rsidP="0047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6535" w14:textId="630A1287" w:rsidR="00723908" w:rsidRDefault="00723908" w:rsidP="00723908">
    <w:pPr>
      <w:pStyle w:val="En-tte"/>
      <w:ind w:right="2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75BA75" wp14:editId="029F1462">
          <wp:simplePos x="0" y="0"/>
          <wp:positionH relativeFrom="margin">
            <wp:posOffset>4544695</wp:posOffset>
          </wp:positionH>
          <wp:positionV relativeFrom="paragraph">
            <wp:posOffset>-211455</wp:posOffset>
          </wp:positionV>
          <wp:extent cx="2047875" cy="819150"/>
          <wp:effectExtent l="0" t="0" r="9525" b="0"/>
          <wp:wrapNone/>
          <wp:docPr id="1098311635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302914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623" cy="819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9D73" w14:textId="55063243" w:rsidR="00723908" w:rsidRDefault="0072390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C320AF" wp14:editId="25F7AEC3">
          <wp:simplePos x="0" y="0"/>
          <wp:positionH relativeFrom="margin">
            <wp:posOffset>5147198</wp:posOffset>
          </wp:positionH>
          <wp:positionV relativeFrom="paragraph">
            <wp:posOffset>-203090</wp:posOffset>
          </wp:positionV>
          <wp:extent cx="1789047" cy="715618"/>
          <wp:effectExtent l="0" t="0" r="1905" b="8890"/>
          <wp:wrapNone/>
          <wp:docPr id="1484591533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302914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36" cy="71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79E5A" w14:textId="77777777" w:rsidR="00723908" w:rsidRDefault="007239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30B94"/>
    <w:multiLevelType w:val="hybridMultilevel"/>
    <w:tmpl w:val="C5B8E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B5A50"/>
    <w:multiLevelType w:val="hybridMultilevel"/>
    <w:tmpl w:val="E5ACA4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70553"/>
    <w:multiLevelType w:val="hybridMultilevel"/>
    <w:tmpl w:val="EA184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99377">
    <w:abstractNumId w:val="1"/>
  </w:num>
  <w:num w:numId="2" w16cid:durableId="542181640">
    <w:abstractNumId w:val="0"/>
  </w:num>
  <w:num w:numId="3" w16cid:durableId="2310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B1"/>
    <w:rsid w:val="0001521C"/>
    <w:rsid w:val="00041EA5"/>
    <w:rsid w:val="000905B8"/>
    <w:rsid w:val="000A021D"/>
    <w:rsid w:val="000A5686"/>
    <w:rsid w:val="001163A0"/>
    <w:rsid w:val="00141462"/>
    <w:rsid w:val="00156674"/>
    <w:rsid w:val="00161626"/>
    <w:rsid w:val="00185D65"/>
    <w:rsid w:val="00221D19"/>
    <w:rsid w:val="0022363A"/>
    <w:rsid w:val="00223B56"/>
    <w:rsid w:val="00244DD3"/>
    <w:rsid w:val="00295224"/>
    <w:rsid w:val="002B1559"/>
    <w:rsid w:val="002D00DC"/>
    <w:rsid w:val="002F2E0E"/>
    <w:rsid w:val="003107E4"/>
    <w:rsid w:val="00326147"/>
    <w:rsid w:val="00331507"/>
    <w:rsid w:val="003A4984"/>
    <w:rsid w:val="003A5916"/>
    <w:rsid w:val="003A62F5"/>
    <w:rsid w:val="003B26F2"/>
    <w:rsid w:val="003E0A4D"/>
    <w:rsid w:val="00414454"/>
    <w:rsid w:val="004150C2"/>
    <w:rsid w:val="00424500"/>
    <w:rsid w:val="00470F08"/>
    <w:rsid w:val="00497894"/>
    <w:rsid w:val="004D25EE"/>
    <w:rsid w:val="004D3A77"/>
    <w:rsid w:val="00505E23"/>
    <w:rsid w:val="00510751"/>
    <w:rsid w:val="0051213E"/>
    <w:rsid w:val="0051270C"/>
    <w:rsid w:val="00553D8E"/>
    <w:rsid w:val="00596800"/>
    <w:rsid w:val="005D6BEF"/>
    <w:rsid w:val="005F01FD"/>
    <w:rsid w:val="00641108"/>
    <w:rsid w:val="00650CFE"/>
    <w:rsid w:val="0069263F"/>
    <w:rsid w:val="00723908"/>
    <w:rsid w:val="00734CEA"/>
    <w:rsid w:val="00770EFD"/>
    <w:rsid w:val="00777A4F"/>
    <w:rsid w:val="007C3BD1"/>
    <w:rsid w:val="007F08FA"/>
    <w:rsid w:val="007F73B7"/>
    <w:rsid w:val="00813537"/>
    <w:rsid w:val="00830FE7"/>
    <w:rsid w:val="008737D7"/>
    <w:rsid w:val="00877A86"/>
    <w:rsid w:val="0088459A"/>
    <w:rsid w:val="008A7645"/>
    <w:rsid w:val="008C2578"/>
    <w:rsid w:val="008D3622"/>
    <w:rsid w:val="00930405"/>
    <w:rsid w:val="00986EEE"/>
    <w:rsid w:val="009945A9"/>
    <w:rsid w:val="009B756A"/>
    <w:rsid w:val="009C6301"/>
    <w:rsid w:val="00A55E67"/>
    <w:rsid w:val="00A60049"/>
    <w:rsid w:val="00A6115F"/>
    <w:rsid w:val="00A71247"/>
    <w:rsid w:val="00A9180F"/>
    <w:rsid w:val="00AD0878"/>
    <w:rsid w:val="00AE6D3B"/>
    <w:rsid w:val="00B37AF2"/>
    <w:rsid w:val="00B541C6"/>
    <w:rsid w:val="00B96A4D"/>
    <w:rsid w:val="00BC34F8"/>
    <w:rsid w:val="00BD0836"/>
    <w:rsid w:val="00C1670E"/>
    <w:rsid w:val="00C23622"/>
    <w:rsid w:val="00C530BE"/>
    <w:rsid w:val="00CB48E6"/>
    <w:rsid w:val="00CB74D4"/>
    <w:rsid w:val="00CC1E15"/>
    <w:rsid w:val="00D0326E"/>
    <w:rsid w:val="00D24A96"/>
    <w:rsid w:val="00D24E61"/>
    <w:rsid w:val="00D2568F"/>
    <w:rsid w:val="00D8456F"/>
    <w:rsid w:val="00D90F76"/>
    <w:rsid w:val="00D965D3"/>
    <w:rsid w:val="00DD57B1"/>
    <w:rsid w:val="00E03DB8"/>
    <w:rsid w:val="00E22857"/>
    <w:rsid w:val="00E85067"/>
    <w:rsid w:val="00EC16DE"/>
    <w:rsid w:val="00F314C5"/>
    <w:rsid w:val="00F62213"/>
    <w:rsid w:val="00F8752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65221"/>
  <w15:chartTrackingRefBased/>
  <w15:docId w15:val="{EFEAF5AD-C58A-4E30-8FB3-3EAFCBFC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5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5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5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5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5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5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5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5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5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5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57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57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57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57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57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57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5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5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5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57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57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57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5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57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57B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D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DD57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D57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470F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F08"/>
  </w:style>
  <w:style w:type="paragraph" w:styleId="Pieddepage">
    <w:name w:val="footer"/>
    <w:basedOn w:val="Normal"/>
    <w:link w:val="PieddepageCar"/>
    <w:uiPriority w:val="99"/>
    <w:unhideWhenUsed/>
    <w:rsid w:val="00470F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F08"/>
  </w:style>
  <w:style w:type="character" w:styleId="Marquedecommentaire">
    <w:name w:val="annotation reference"/>
    <w:basedOn w:val="Policepardfaut"/>
    <w:uiPriority w:val="99"/>
    <w:semiHidden/>
    <w:unhideWhenUsed/>
    <w:rsid w:val="008737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737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737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37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37D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1353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43B6-BE0D-4000-A0F3-D08A62E1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Jacinthe Pothier</dc:creator>
  <cp:keywords/>
  <dc:description/>
  <cp:lastModifiedBy>Marie-Andrée Mayrand</cp:lastModifiedBy>
  <cp:revision>2</cp:revision>
  <cp:lastPrinted>2025-06-10T17:44:00Z</cp:lastPrinted>
  <dcterms:created xsi:type="dcterms:W3CDTF">2025-06-18T21:24:00Z</dcterms:created>
  <dcterms:modified xsi:type="dcterms:W3CDTF">2025-06-18T21:24:00Z</dcterms:modified>
</cp:coreProperties>
</file>